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0B8F14" w14:textId="00C4ABC6" w:rsidR="00DF3210" w:rsidRDefault="007A1EA4" w:rsidP="00DF321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Priekšlikuma noteikumi </w:t>
      </w:r>
      <w:r w:rsidR="00DF3210">
        <w:rPr>
          <w:rFonts w:ascii="Times New Roman" w:hAnsi="Times New Roman" w:cs="Times New Roman"/>
          <w:sz w:val="24"/>
          <w:szCs w:val="24"/>
        </w:rPr>
        <w:t>Latvijas daiļslidošanas izlašu komandu izveide</w:t>
      </w:r>
      <w:r>
        <w:rPr>
          <w:rFonts w:ascii="Times New Roman" w:hAnsi="Times New Roman" w:cs="Times New Roman"/>
          <w:sz w:val="24"/>
          <w:szCs w:val="24"/>
        </w:rPr>
        <w:t>i</w:t>
      </w:r>
    </w:p>
    <w:p w14:paraId="13631135" w14:textId="77777777" w:rsidR="00847505" w:rsidRDefault="00847505" w:rsidP="00DF321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DFB657E" w14:textId="65268FAF" w:rsidR="00DF3210" w:rsidRDefault="00DF3210" w:rsidP="00DF321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Latvijas daiļslidotāju reitings</w:t>
      </w:r>
    </w:p>
    <w:p w14:paraId="01B61403" w14:textId="412A76C7" w:rsidR="00DF3210" w:rsidRDefault="00DF3210" w:rsidP="00F025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1B9946" w14:textId="427A087C" w:rsidR="00DF3210" w:rsidRDefault="00DF3210" w:rsidP="00F0255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3210">
        <w:rPr>
          <w:rFonts w:ascii="Times New Roman" w:hAnsi="Times New Roman" w:cs="Times New Roman"/>
          <w:b/>
          <w:bCs/>
          <w:sz w:val="24"/>
          <w:szCs w:val="24"/>
        </w:rPr>
        <w:t>Terminoloģija</w:t>
      </w:r>
    </w:p>
    <w:p w14:paraId="1200D42A" w14:textId="22C019E9" w:rsidR="00D019F6" w:rsidRDefault="00D019F6" w:rsidP="00F025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Izlase – sastāv no Senior klases, Junior klases, Advanced novice klases meiteņu, zēnu, pāru, deju un sinhronās komandas izlasēm</w:t>
      </w:r>
    </w:p>
    <w:p w14:paraId="5EA45636" w14:textId="758F5785" w:rsidR="00DF3210" w:rsidRDefault="00DF3210" w:rsidP="00F025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Punktu summa – kopējais punktu skaits, ko sportists ir ieguvis sacensībās par </w:t>
      </w:r>
      <w:r w:rsidR="00B34E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un izvēles programmu</w:t>
      </w:r>
    </w:p>
    <w:p w14:paraId="5D84F9A1" w14:textId="72E51E40" w:rsidR="00612A63" w:rsidRDefault="00C1386E" w:rsidP="00F025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Izlases t</w:t>
      </w:r>
      <w:r w:rsidR="00612A63">
        <w:rPr>
          <w:rFonts w:ascii="Times New Roman" w:hAnsi="Times New Roman" w:cs="Times New Roman"/>
          <w:sz w:val="24"/>
          <w:szCs w:val="24"/>
        </w:rPr>
        <w:t xml:space="preserve">ehniskais minimums </w:t>
      </w:r>
      <w:r w:rsidR="00F02558">
        <w:rPr>
          <w:rFonts w:ascii="Times New Roman" w:hAnsi="Times New Roman" w:cs="Times New Roman"/>
          <w:sz w:val="24"/>
          <w:szCs w:val="24"/>
        </w:rPr>
        <w:t>–</w:t>
      </w:r>
      <w:r w:rsidR="00612A63">
        <w:rPr>
          <w:rFonts w:ascii="Times New Roman" w:hAnsi="Times New Roman" w:cs="Times New Roman"/>
          <w:sz w:val="24"/>
          <w:szCs w:val="24"/>
        </w:rPr>
        <w:t xml:space="preserve"> </w:t>
      </w:r>
      <w:r w:rsidR="00F02558">
        <w:rPr>
          <w:rFonts w:ascii="Times New Roman" w:hAnsi="Times New Roman" w:cs="Times New Roman"/>
          <w:sz w:val="24"/>
          <w:szCs w:val="24"/>
        </w:rPr>
        <w:t>tehniskā atzīme, kuru nosaka LSA ik sezonu katrā kategorijā atsevišķi gan obligātajā programmā, gan izvēles programmā, un ir nepieciešama, lai punktu summa būtu aktīva</w:t>
      </w:r>
    </w:p>
    <w:p w14:paraId="218BF871" w14:textId="11C6D115" w:rsidR="00DF3210" w:rsidRDefault="00DF3210" w:rsidP="00F025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4FD7CA" w14:textId="790E945B" w:rsidR="00DF3210" w:rsidRDefault="00DF3210" w:rsidP="00F0255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Latvijas izlases sportistu/pāru/komandu vieta</w:t>
      </w:r>
      <w:r w:rsidR="005572EE">
        <w:rPr>
          <w:rFonts w:ascii="Times New Roman" w:hAnsi="Times New Roman" w:cs="Times New Roman"/>
          <w:sz w:val="24"/>
          <w:szCs w:val="24"/>
        </w:rPr>
        <w:t xml:space="preserve"> izlasē</w:t>
      </w:r>
      <w:r>
        <w:rPr>
          <w:rFonts w:ascii="Times New Roman" w:hAnsi="Times New Roman" w:cs="Times New Roman"/>
          <w:sz w:val="24"/>
          <w:szCs w:val="24"/>
        </w:rPr>
        <w:t xml:space="preserve"> tiek sadalīta izrietot no trīs sacensību labākajiem </w:t>
      </w:r>
      <w:r>
        <w:rPr>
          <w:rFonts w:ascii="Times New Roman" w:hAnsi="Times New Roman" w:cs="Times New Roman"/>
          <w:i/>
          <w:iCs/>
          <w:sz w:val="24"/>
          <w:szCs w:val="24"/>
        </w:rPr>
        <w:t>punktu summu</w:t>
      </w:r>
      <w:r>
        <w:rPr>
          <w:rFonts w:ascii="Times New Roman" w:hAnsi="Times New Roman" w:cs="Times New Roman"/>
          <w:sz w:val="24"/>
          <w:szCs w:val="24"/>
        </w:rPr>
        <w:t xml:space="preserve"> rezultātiem. </w:t>
      </w:r>
      <w:r w:rsidR="00943D78">
        <w:rPr>
          <w:rFonts w:ascii="Times New Roman" w:hAnsi="Times New Roman" w:cs="Times New Roman"/>
          <w:sz w:val="24"/>
          <w:szCs w:val="24"/>
        </w:rPr>
        <w:t>Sportists/pāris/komanda ar vislielāko kopvērtējumu iegūst visaugstāko reitingu izlasē.</w:t>
      </w:r>
    </w:p>
    <w:p w14:paraId="43D18B77" w14:textId="3486EA58" w:rsidR="00DF3210" w:rsidRDefault="00DF3210" w:rsidP="00F02558">
      <w:pPr>
        <w:jc w:val="both"/>
        <w:rPr>
          <w:rFonts w:ascii="Times New Roman" w:hAnsi="Times New Roman" w:cs="Times New Roman"/>
          <w:sz w:val="24"/>
          <w:szCs w:val="24"/>
        </w:rPr>
      </w:pPr>
      <w:r w:rsidRPr="00BF1AB6">
        <w:rPr>
          <w:rFonts w:ascii="Times New Roman" w:hAnsi="Times New Roman" w:cs="Times New Roman"/>
          <w:sz w:val="24"/>
          <w:szCs w:val="24"/>
        </w:rPr>
        <w:t xml:space="preserve">Piemēram: </w:t>
      </w:r>
    </w:p>
    <w:p w14:paraId="36D8F40E" w14:textId="1DBDE3D9" w:rsidR="00BB58F1" w:rsidRDefault="00BB58F1" w:rsidP="00BB58F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Tabula Nr.1.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"/>
        <w:gridCol w:w="1400"/>
        <w:gridCol w:w="1470"/>
        <w:gridCol w:w="1534"/>
        <w:gridCol w:w="1470"/>
        <w:gridCol w:w="1344"/>
      </w:tblGrid>
      <w:tr w:rsidR="004E3CC5" w14:paraId="68E474B2" w14:textId="77777777" w:rsidTr="004E3CC5">
        <w:tc>
          <w:tcPr>
            <w:tcW w:w="704" w:type="dxa"/>
          </w:tcPr>
          <w:p w14:paraId="1AC87F2F" w14:textId="748101D2" w:rsidR="004E3CC5" w:rsidRDefault="004E3CC5" w:rsidP="00F02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Vieta</w:t>
            </w:r>
          </w:p>
        </w:tc>
        <w:tc>
          <w:tcPr>
            <w:tcW w:w="1400" w:type="dxa"/>
          </w:tcPr>
          <w:p w14:paraId="74B2265F" w14:textId="0E70DC84" w:rsidR="004E3CC5" w:rsidRDefault="004E3CC5" w:rsidP="00F02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Vārds, Uzvārds</w:t>
            </w:r>
          </w:p>
        </w:tc>
        <w:tc>
          <w:tcPr>
            <w:tcW w:w="1470" w:type="dxa"/>
          </w:tcPr>
          <w:p w14:paraId="7176F655" w14:textId="47C116C0" w:rsidR="004E3CC5" w:rsidRDefault="004E3CC5" w:rsidP="00F02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Sacensību 1.summa</w:t>
            </w:r>
          </w:p>
        </w:tc>
        <w:tc>
          <w:tcPr>
            <w:tcW w:w="1534" w:type="dxa"/>
          </w:tcPr>
          <w:p w14:paraId="7BD50367" w14:textId="0F38F5FC" w:rsidR="004E3CC5" w:rsidRDefault="004E3CC5" w:rsidP="00F02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Sacensību 2.summa</w:t>
            </w:r>
          </w:p>
        </w:tc>
        <w:tc>
          <w:tcPr>
            <w:tcW w:w="1470" w:type="dxa"/>
          </w:tcPr>
          <w:p w14:paraId="35F06F3E" w14:textId="12DA0AD0" w:rsidR="004E3CC5" w:rsidRDefault="004E3CC5" w:rsidP="00F02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Sacensību 3.summa</w:t>
            </w:r>
          </w:p>
        </w:tc>
        <w:tc>
          <w:tcPr>
            <w:tcW w:w="1344" w:type="dxa"/>
          </w:tcPr>
          <w:p w14:paraId="63E87BDB" w14:textId="2CC6D225" w:rsidR="004E3CC5" w:rsidRDefault="005572EE" w:rsidP="00F02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Kopā</w:t>
            </w:r>
          </w:p>
        </w:tc>
      </w:tr>
      <w:tr w:rsidR="004E3CC5" w14:paraId="7404326B" w14:textId="77777777" w:rsidTr="004E3CC5">
        <w:tc>
          <w:tcPr>
            <w:tcW w:w="704" w:type="dxa"/>
          </w:tcPr>
          <w:p w14:paraId="650CA5EC" w14:textId="77777777" w:rsidR="004E3CC5" w:rsidRDefault="004E3CC5" w:rsidP="00F02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2FCD1795" w14:textId="497D3FFD" w:rsidR="004E3CC5" w:rsidRDefault="004E3CC5" w:rsidP="00F02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14:paraId="1F5DBF56" w14:textId="18C3EFA4" w:rsidR="004E3CC5" w:rsidRDefault="004E3CC5" w:rsidP="00F02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A.J.</w:t>
            </w:r>
          </w:p>
        </w:tc>
        <w:tc>
          <w:tcPr>
            <w:tcW w:w="1470" w:type="dxa"/>
          </w:tcPr>
          <w:p w14:paraId="6A820495" w14:textId="58B7EC56" w:rsidR="004E3CC5" w:rsidRDefault="004E3CC5" w:rsidP="00F02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LČ (seniori) 125,48</w:t>
            </w:r>
          </w:p>
        </w:tc>
        <w:tc>
          <w:tcPr>
            <w:tcW w:w="1534" w:type="dxa"/>
          </w:tcPr>
          <w:p w14:paraId="18F6A6C4" w14:textId="5956C920" w:rsidR="004E3CC5" w:rsidRDefault="004E3CC5" w:rsidP="00F02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Volvo Open Cup (seniori) 154,78</w:t>
            </w:r>
          </w:p>
        </w:tc>
        <w:tc>
          <w:tcPr>
            <w:tcW w:w="1470" w:type="dxa"/>
          </w:tcPr>
          <w:p w14:paraId="4968707D" w14:textId="2ED46B32" w:rsidR="004E3CC5" w:rsidRDefault="004E3CC5" w:rsidP="00F02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Tallinn Trophy (seniori) 103,94</w:t>
            </w:r>
          </w:p>
        </w:tc>
        <w:tc>
          <w:tcPr>
            <w:tcW w:w="1344" w:type="dxa"/>
          </w:tcPr>
          <w:p w14:paraId="46B04998" w14:textId="61B79B84" w:rsidR="004E3CC5" w:rsidRDefault="004E3CC5" w:rsidP="00F02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384,20 </w:t>
            </w:r>
          </w:p>
        </w:tc>
      </w:tr>
      <w:tr w:rsidR="004E3CC5" w14:paraId="05BB4661" w14:textId="77777777" w:rsidTr="004E3CC5">
        <w:tc>
          <w:tcPr>
            <w:tcW w:w="704" w:type="dxa"/>
          </w:tcPr>
          <w:p w14:paraId="25D67077" w14:textId="77777777" w:rsidR="004E3CC5" w:rsidRDefault="004E3CC5" w:rsidP="00F02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14:paraId="4978B179" w14:textId="7DAB0B1E" w:rsidR="004E3CC5" w:rsidRDefault="004E3CC5" w:rsidP="00F02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14:paraId="76998FCF" w14:textId="6A0E8106" w:rsidR="004E3CC5" w:rsidRDefault="004E3CC5" w:rsidP="00F02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U.E.</w:t>
            </w:r>
          </w:p>
        </w:tc>
        <w:tc>
          <w:tcPr>
            <w:tcW w:w="1470" w:type="dxa"/>
          </w:tcPr>
          <w:p w14:paraId="78ED0D17" w14:textId="77777777" w:rsidR="004E3CC5" w:rsidRDefault="004E3CC5" w:rsidP="00F02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LČ (seniori)</w:t>
            </w:r>
          </w:p>
          <w:p w14:paraId="7C2F01D7" w14:textId="391C2C28" w:rsidR="004E3CC5" w:rsidRDefault="004E3CC5" w:rsidP="00F02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170,59</w:t>
            </w:r>
          </w:p>
        </w:tc>
        <w:tc>
          <w:tcPr>
            <w:tcW w:w="1534" w:type="dxa"/>
          </w:tcPr>
          <w:p w14:paraId="08D6DDAA" w14:textId="6B910886" w:rsidR="004E3CC5" w:rsidRDefault="004E3CC5" w:rsidP="00F02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Rostelecom Cup</w:t>
            </w:r>
            <w:r w:rsidR="00612A63">
              <w:rPr>
                <w:rFonts w:ascii="Times New Roman" w:hAnsi="Times New Roman" w:cs="Times New Roman"/>
                <w:sz w:val="24"/>
                <w:szCs w:val="24"/>
              </w:rPr>
              <w:t xml:space="preserve"> (seniori)</w:t>
            </w:r>
          </w:p>
          <w:p w14:paraId="326688DF" w14:textId="5C34DB67" w:rsidR="004E3CC5" w:rsidRDefault="004E3CC5" w:rsidP="00F02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210,6</w:t>
            </w:r>
            <w:r w:rsidR="00612A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</w:tcPr>
          <w:p w14:paraId="229D9EEB" w14:textId="77777777" w:rsidR="004E3CC5" w:rsidRDefault="004E3CC5" w:rsidP="00F02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14:paraId="13E650ED" w14:textId="0C20BB74" w:rsidR="004E3CC5" w:rsidRDefault="004E3CC5" w:rsidP="00F02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381,2</w:t>
            </w:r>
            <w:r w:rsidR="00612A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3CC5" w14:paraId="73F2A090" w14:textId="77777777" w:rsidTr="004E3CC5">
        <w:tc>
          <w:tcPr>
            <w:tcW w:w="704" w:type="dxa"/>
          </w:tcPr>
          <w:p w14:paraId="5E60EAF8" w14:textId="77777777" w:rsidR="004E3CC5" w:rsidRDefault="004E3CC5" w:rsidP="00F02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14:paraId="6A4672F3" w14:textId="63556718" w:rsidR="004E3CC5" w:rsidRDefault="004E3CC5" w:rsidP="00F02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14:paraId="600F29C8" w14:textId="363D572F" w:rsidR="004E3CC5" w:rsidRDefault="004E3CC5" w:rsidP="00F02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D.O.</w:t>
            </w:r>
          </w:p>
        </w:tc>
        <w:tc>
          <w:tcPr>
            <w:tcW w:w="1470" w:type="dxa"/>
          </w:tcPr>
          <w:p w14:paraId="3E3F35FD" w14:textId="77777777" w:rsidR="004E3CC5" w:rsidRDefault="004E3CC5" w:rsidP="00F02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LČ (seniori)</w:t>
            </w:r>
          </w:p>
          <w:p w14:paraId="40C2C1B0" w14:textId="78D0C927" w:rsidR="004E3CC5" w:rsidRDefault="004E3CC5" w:rsidP="00F02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132,49</w:t>
            </w:r>
          </w:p>
        </w:tc>
        <w:tc>
          <w:tcPr>
            <w:tcW w:w="1534" w:type="dxa"/>
          </w:tcPr>
          <w:p w14:paraId="2C15D35D" w14:textId="77777777" w:rsidR="004E3CC5" w:rsidRDefault="004E3CC5" w:rsidP="00F02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Lombardia Trophy (seniori)</w:t>
            </w:r>
          </w:p>
          <w:p w14:paraId="0A8D4339" w14:textId="0DD4B0D2" w:rsidR="004E3CC5" w:rsidRDefault="004E3CC5" w:rsidP="00F02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120,33</w:t>
            </w:r>
          </w:p>
        </w:tc>
        <w:tc>
          <w:tcPr>
            <w:tcW w:w="1470" w:type="dxa"/>
          </w:tcPr>
          <w:p w14:paraId="09DABBB1" w14:textId="77777777" w:rsidR="004E3CC5" w:rsidRDefault="004E3CC5" w:rsidP="00F02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Tallinn Trophy (seniori)</w:t>
            </w:r>
          </w:p>
          <w:p w14:paraId="6858A3B7" w14:textId="47EFBC85" w:rsidR="004E3CC5" w:rsidRDefault="004E3CC5" w:rsidP="00F02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120,98</w:t>
            </w:r>
          </w:p>
        </w:tc>
        <w:tc>
          <w:tcPr>
            <w:tcW w:w="1344" w:type="dxa"/>
          </w:tcPr>
          <w:p w14:paraId="71CE2749" w14:textId="77777777" w:rsidR="004E3CC5" w:rsidRDefault="004E3CC5" w:rsidP="00F02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373,80</w:t>
            </w:r>
          </w:p>
          <w:p w14:paraId="2B8DA4A9" w14:textId="7093D137" w:rsidR="004E3CC5" w:rsidRDefault="004E3CC5" w:rsidP="00F02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D299A9" w14:textId="387A43EE" w:rsidR="00C30E32" w:rsidRDefault="00C30E32" w:rsidP="00F025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2CBDCC" w14:textId="45EE7FDB" w:rsidR="00BF1AB6" w:rsidRDefault="00C30E32" w:rsidP="00C30E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2FDF2A4" w14:textId="655333A9" w:rsidR="00DE755B" w:rsidRDefault="00DE755B" w:rsidP="00F0255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Sacensību kritēriji, kur var iegūt punktu summu:</w:t>
      </w:r>
    </w:p>
    <w:p w14:paraId="0018533A" w14:textId="1610A91F" w:rsidR="00A30F20" w:rsidRDefault="00A30F20" w:rsidP="00D019F6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19F6">
        <w:rPr>
          <w:rFonts w:ascii="Times New Roman" w:hAnsi="Times New Roman" w:cs="Times New Roman"/>
          <w:sz w:val="24"/>
          <w:szCs w:val="24"/>
        </w:rPr>
        <w:t xml:space="preserve">Tiek ņemti vērā rezultāti no visām sacensībām, kuras atrodas ISU kalendārā, </w:t>
      </w:r>
      <w:r w:rsidR="00D019F6" w:rsidRPr="00D019F6">
        <w:rPr>
          <w:rFonts w:ascii="Times New Roman" w:hAnsi="Times New Roman" w:cs="Times New Roman"/>
          <w:sz w:val="24"/>
          <w:szCs w:val="24"/>
        </w:rPr>
        <w:t>Latvijas čempionāts daiļslidošanā</w:t>
      </w:r>
      <w:r w:rsidR="000E742B">
        <w:rPr>
          <w:rFonts w:ascii="Times New Roman" w:hAnsi="Times New Roman" w:cs="Times New Roman"/>
          <w:sz w:val="24"/>
          <w:szCs w:val="24"/>
        </w:rPr>
        <w:t>, Baltic Elite Cup series sacensības un sacensības, kuras atbilst sekojošajiem kritērijiem:</w:t>
      </w:r>
    </w:p>
    <w:p w14:paraId="4E0C031C" w14:textId="48BD4B85" w:rsidR="000E742B" w:rsidRDefault="00D60C06" w:rsidP="000E742B">
      <w:pPr>
        <w:pStyle w:val="ListParagraph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Sacensības tiek organizētas pēc ISU noteikumiem – obligātā un izvēles programma;</w:t>
      </w:r>
    </w:p>
    <w:p w14:paraId="2107194A" w14:textId="62E91D96" w:rsidR="00D60C06" w:rsidRDefault="00D60C06" w:rsidP="000E742B">
      <w:pPr>
        <w:pStyle w:val="ListParagraph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Sacensību rezultāti ir pieejami publiski visiem tekošajā sezonā;</w:t>
      </w:r>
    </w:p>
    <w:p w14:paraId="2420FA1B" w14:textId="110A8CD5" w:rsidR="00D60C06" w:rsidRDefault="00D60C06" w:rsidP="000E742B">
      <w:pPr>
        <w:pStyle w:val="ListParagraph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Tiesnešu un tehniskā paneļa saraksts ir pieejams publiski visiem tekošajā sezonā;</w:t>
      </w:r>
    </w:p>
    <w:p w14:paraId="5CC97130" w14:textId="18E54B01" w:rsidR="00D60C06" w:rsidRDefault="00D60C06" w:rsidP="000E742B">
      <w:pPr>
        <w:pStyle w:val="ListParagraph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66F2">
        <w:rPr>
          <w:rFonts w:ascii="Times New Roman" w:hAnsi="Times New Roman" w:cs="Times New Roman"/>
          <w:sz w:val="24"/>
          <w:szCs w:val="24"/>
          <w:u w:val="single"/>
        </w:rPr>
        <w:t>Tehniskais panelis</w:t>
      </w:r>
      <w:r>
        <w:rPr>
          <w:rFonts w:ascii="Times New Roman" w:hAnsi="Times New Roman" w:cs="Times New Roman"/>
          <w:sz w:val="24"/>
          <w:szCs w:val="24"/>
        </w:rPr>
        <w:t xml:space="preserve">: sastāv no Tehniskā speciālista, Tehniskā speciālista asistenta un Tehniskā kontroliera. Kur vismaz vienam ir ISU kategorija un pārējiem abiem ne zemāka </w:t>
      </w:r>
      <w:r w:rsidR="00E00073">
        <w:rPr>
          <w:rFonts w:ascii="Times New Roman" w:hAnsi="Times New Roman" w:cs="Times New Roman"/>
          <w:sz w:val="24"/>
          <w:szCs w:val="24"/>
        </w:rPr>
        <w:t xml:space="preserve">par </w:t>
      </w:r>
      <w:r>
        <w:rPr>
          <w:rFonts w:ascii="Times New Roman" w:hAnsi="Times New Roman" w:cs="Times New Roman"/>
          <w:sz w:val="24"/>
          <w:szCs w:val="24"/>
        </w:rPr>
        <w:t>nacionālo kategoriju</w:t>
      </w:r>
      <w:r w:rsidR="00E00073">
        <w:rPr>
          <w:rFonts w:ascii="Times New Roman" w:hAnsi="Times New Roman" w:cs="Times New Roman"/>
          <w:sz w:val="24"/>
          <w:szCs w:val="24"/>
        </w:rPr>
        <w:t xml:space="preserve">, vai diviem no tehniskā paneļa ir starptautiskā kategorija un vienam nacionālā kategorija. </w:t>
      </w:r>
    </w:p>
    <w:p w14:paraId="5BA4133C" w14:textId="270A5419" w:rsidR="003F4C4D" w:rsidRDefault="008F66F2" w:rsidP="003F4C4D">
      <w:pPr>
        <w:pStyle w:val="ListParagraph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66F2">
        <w:rPr>
          <w:rFonts w:ascii="Times New Roman" w:hAnsi="Times New Roman" w:cs="Times New Roman"/>
          <w:sz w:val="24"/>
          <w:szCs w:val="24"/>
          <w:u w:val="single"/>
        </w:rPr>
        <w:t>Tiesnešu panelis</w:t>
      </w:r>
      <w:r>
        <w:rPr>
          <w:rFonts w:ascii="Times New Roman" w:hAnsi="Times New Roman" w:cs="Times New Roman"/>
          <w:sz w:val="24"/>
          <w:szCs w:val="24"/>
        </w:rPr>
        <w:t xml:space="preserve">: ja sacensības tiesā 3 tiesneši, tad visiem no šiem tiesnešiem ir jābūt ar starptautisko vai ISU tiesnešu kategoriju; ja sacensības tiesā 4 tiesneši, tad vismaz trijiem no tiesnešiem ir jābūt </w:t>
      </w:r>
      <w:r w:rsidR="00C626F6">
        <w:rPr>
          <w:rFonts w:ascii="Times New Roman" w:hAnsi="Times New Roman" w:cs="Times New Roman"/>
          <w:sz w:val="24"/>
          <w:szCs w:val="24"/>
        </w:rPr>
        <w:t xml:space="preserve">ar </w:t>
      </w:r>
      <w:r>
        <w:rPr>
          <w:rFonts w:ascii="Times New Roman" w:hAnsi="Times New Roman" w:cs="Times New Roman"/>
          <w:sz w:val="24"/>
          <w:szCs w:val="24"/>
        </w:rPr>
        <w:t>starptautisk</w:t>
      </w:r>
      <w:r w:rsidR="00C626F6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kategorij</w:t>
      </w:r>
      <w:r w:rsidR="00C626F6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vai ISU </w:t>
      </w:r>
      <w:r w:rsidR="003F4C4D">
        <w:rPr>
          <w:rFonts w:ascii="Times New Roman" w:hAnsi="Times New Roman" w:cs="Times New Roman"/>
          <w:sz w:val="24"/>
          <w:szCs w:val="24"/>
        </w:rPr>
        <w:t>tiesnešu kategorija</w:t>
      </w:r>
      <w:r w:rsidR="00C626F6">
        <w:rPr>
          <w:rFonts w:ascii="Times New Roman" w:hAnsi="Times New Roman" w:cs="Times New Roman"/>
          <w:sz w:val="24"/>
          <w:szCs w:val="24"/>
        </w:rPr>
        <w:t xml:space="preserve"> un vienam </w:t>
      </w:r>
      <w:r w:rsidR="00BE20C0">
        <w:rPr>
          <w:rFonts w:ascii="Times New Roman" w:hAnsi="Times New Roman" w:cs="Times New Roman"/>
          <w:sz w:val="24"/>
          <w:szCs w:val="24"/>
        </w:rPr>
        <w:t>ar nacionālo kategoriju</w:t>
      </w:r>
      <w:r w:rsidR="003F4C4D">
        <w:rPr>
          <w:rFonts w:ascii="Times New Roman" w:hAnsi="Times New Roman" w:cs="Times New Roman"/>
          <w:sz w:val="24"/>
          <w:szCs w:val="24"/>
        </w:rPr>
        <w:t xml:space="preserve">; ja sacensības tiesā 5 vai vairāk tiesnešu, tad vairāk kā 50% no tiesnešiem ir jābūt ar starptautisko kategoriju vai ISU </w:t>
      </w:r>
      <w:r w:rsidR="00C626F6">
        <w:rPr>
          <w:rFonts w:ascii="Times New Roman" w:hAnsi="Times New Roman" w:cs="Times New Roman"/>
          <w:sz w:val="24"/>
          <w:szCs w:val="24"/>
        </w:rPr>
        <w:t xml:space="preserve">tiesnešu </w:t>
      </w:r>
      <w:r w:rsidR="003F4C4D">
        <w:rPr>
          <w:rFonts w:ascii="Times New Roman" w:hAnsi="Times New Roman" w:cs="Times New Roman"/>
          <w:sz w:val="24"/>
          <w:szCs w:val="24"/>
        </w:rPr>
        <w:t>kategoriju</w:t>
      </w:r>
      <w:r w:rsidR="00BE20C0">
        <w:rPr>
          <w:rFonts w:ascii="Times New Roman" w:hAnsi="Times New Roman" w:cs="Times New Roman"/>
          <w:sz w:val="24"/>
          <w:szCs w:val="24"/>
        </w:rPr>
        <w:t xml:space="preserve"> un pārējie ar nacionālo kategoriju</w:t>
      </w:r>
      <w:r w:rsidR="003F4C4D">
        <w:rPr>
          <w:rFonts w:ascii="Times New Roman" w:hAnsi="Times New Roman" w:cs="Times New Roman"/>
          <w:sz w:val="24"/>
          <w:szCs w:val="24"/>
        </w:rPr>
        <w:t>.</w:t>
      </w:r>
    </w:p>
    <w:p w14:paraId="44930E9C" w14:textId="4E588F14" w:rsidR="00C626F6" w:rsidRDefault="00C626F6" w:rsidP="003F4C4D">
      <w:pPr>
        <w:pStyle w:val="ListParagraph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Gan tehniskā paneļa, gan tiesneš</w:t>
      </w:r>
      <w:r w:rsidR="007A1EA4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paneļa tiesnesis atrodas savā vietā pēc tā, kāda ir viņa specialitāte pēc ISU kategorijas</w:t>
      </w:r>
      <w:r w:rsidR="00F6137B">
        <w:rPr>
          <w:rFonts w:ascii="Times New Roman" w:hAnsi="Times New Roman" w:cs="Times New Roman"/>
          <w:sz w:val="24"/>
          <w:szCs w:val="24"/>
        </w:rPr>
        <w:t xml:space="preserve"> vai pēc nacionālās kategorijas</w:t>
      </w:r>
      <w:r>
        <w:rPr>
          <w:rFonts w:ascii="Times New Roman" w:hAnsi="Times New Roman" w:cs="Times New Roman"/>
          <w:sz w:val="24"/>
          <w:szCs w:val="24"/>
        </w:rPr>
        <w:t>. Piemēram, Tiesnesis, kas sarakstos ir atrodams kā Tiesnesis vienslidojuma klasē nevar būt kā Tehniskā paneļa speciālists.</w:t>
      </w:r>
      <w:r w:rsidR="00036A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565E94" w14:textId="06E33421" w:rsidR="00F41290" w:rsidRPr="00F41290" w:rsidRDefault="00036AA3" w:rsidP="00F41290">
      <w:pPr>
        <w:pStyle w:val="ListParagraph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kāds no šiem noteikumiem neizpildas, tad sacensībās iegūtie punkti ir nederīgi.</w:t>
      </w:r>
    </w:p>
    <w:p w14:paraId="5FC66D0C" w14:textId="77777777" w:rsidR="00D8496A" w:rsidRDefault="00D8496A" w:rsidP="00F0255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19892007" w14:textId="5EC3FC5F" w:rsidR="00DE755B" w:rsidRDefault="00DE755B" w:rsidP="00F0255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Punktu summa, kuru sportists ieguva vienā kategorijā, piemēram Junior klase, nesummēsies kopā</w:t>
      </w:r>
      <w:r w:rsidR="00D8496A">
        <w:rPr>
          <w:rFonts w:ascii="Times New Roman" w:hAnsi="Times New Roman" w:cs="Times New Roman"/>
          <w:sz w:val="24"/>
          <w:szCs w:val="24"/>
        </w:rPr>
        <w:t xml:space="preserve"> 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496A">
        <w:rPr>
          <w:rFonts w:ascii="Times New Roman" w:hAnsi="Times New Roman" w:cs="Times New Roman"/>
          <w:sz w:val="24"/>
          <w:szCs w:val="24"/>
        </w:rPr>
        <w:t>kādu citu kategoriju, piemēram Senior klase</w:t>
      </w:r>
    </w:p>
    <w:p w14:paraId="1AC552F5" w14:textId="77777777" w:rsidR="00612A63" w:rsidRPr="00612A63" w:rsidRDefault="00612A63" w:rsidP="00F0255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48FABE19" w14:textId="0001AF60" w:rsidR="00F02558" w:rsidRPr="00F02558" w:rsidRDefault="00612A63" w:rsidP="00F0255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Lai šī punktu summa būtu aktīva, sportistam sezonas laikā ir vismaz vienu reizi jāiegūst</w:t>
      </w:r>
      <w:r w:rsidR="00F02558">
        <w:rPr>
          <w:rFonts w:ascii="Times New Roman" w:hAnsi="Times New Roman" w:cs="Times New Roman"/>
          <w:sz w:val="24"/>
          <w:szCs w:val="24"/>
        </w:rPr>
        <w:t xml:space="preserve"> LSA noteiktais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386E">
        <w:rPr>
          <w:rFonts w:ascii="Times New Roman" w:hAnsi="Times New Roman" w:cs="Times New Roman"/>
          <w:i/>
          <w:iCs/>
          <w:sz w:val="24"/>
          <w:szCs w:val="24"/>
        </w:rPr>
        <w:t xml:space="preserve">izlases </w:t>
      </w:r>
      <w:r>
        <w:rPr>
          <w:rFonts w:ascii="Times New Roman" w:hAnsi="Times New Roman" w:cs="Times New Roman"/>
          <w:i/>
          <w:iCs/>
          <w:sz w:val="24"/>
          <w:szCs w:val="24"/>
        </w:rPr>
        <w:t>tehniskais minimums</w:t>
      </w:r>
    </w:p>
    <w:p w14:paraId="19B95B20" w14:textId="77777777" w:rsidR="00F02558" w:rsidRPr="00F02558" w:rsidRDefault="00F02558" w:rsidP="00F0255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598E6E36" w14:textId="22F23331" w:rsidR="00F02558" w:rsidRDefault="00C1386E" w:rsidP="00F02558">
      <w:pPr>
        <w:pStyle w:val="ListParagraph"/>
        <w:numPr>
          <w:ilvl w:val="0"/>
          <w:numId w:val="5"/>
        </w:numPr>
        <w:ind w:left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Izlases t</w:t>
      </w:r>
      <w:r w:rsidR="00F02558" w:rsidRPr="00060A7A">
        <w:rPr>
          <w:rFonts w:ascii="Times New Roman" w:hAnsi="Times New Roman" w:cs="Times New Roman"/>
          <w:i/>
          <w:iCs/>
          <w:sz w:val="24"/>
          <w:szCs w:val="24"/>
        </w:rPr>
        <w:t>ehniskais minimums</w:t>
      </w:r>
      <w:r w:rsidR="00F02558">
        <w:rPr>
          <w:rFonts w:ascii="Times New Roman" w:hAnsi="Times New Roman" w:cs="Times New Roman"/>
          <w:sz w:val="24"/>
          <w:szCs w:val="24"/>
        </w:rPr>
        <w:t xml:space="preserve"> obligātajā programmā un izvēles programmā var tikt iegūts dažādās sacensībās;</w:t>
      </w:r>
    </w:p>
    <w:p w14:paraId="712E468B" w14:textId="3AF71661" w:rsidR="00F02558" w:rsidRDefault="00C1386E" w:rsidP="00F02558">
      <w:pPr>
        <w:pStyle w:val="ListParagraph"/>
        <w:numPr>
          <w:ilvl w:val="0"/>
          <w:numId w:val="5"/>
        </w:numPr>
        <w:ind w:left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Izlases t</w:t>
      </w:r>
      <w:r w:rsidR="00F02558" w:rsidRPr="00060A7A">
        <w:rPr>
          <w:rFonts w:ascii="Times New Roman" w:hAnsi="Times New Roman" w:cs="Times New Roman"/>
          <w:i/>
          <w:iCs/>
          <w:sz w:val="24"/>
          <w:szCs w:val="24"/>
        </w:rPr>
        <w:t>ehniskais minimums</w:t>
      </w:r>
      <w:r w:rsidR="00F02558">
        <w:rPr>
          <w:rFonts w:ascii="Times New Roman" w:hAnsi="Times New Roman" w:cs="Times New Roman"/>
          <w:sz w:val="24"/>
          <w:szCs w:val="24"/>
        </w:rPr>
        <w:t xml:space="preserve"> katrā no programmām ir jāizpilda vismaz vienu reizi sezonas laikā un ir derīgs tikai esošajā sezonā;</w:t>
      </w:r>
    </w:p>
    <w:p w14:paraId="46F324B8" w14:textId="77B2CF8C" w:rsidR="00F02558" w:rsidRDefault="00F02558" w:rsidP="00F02558">
      <w:pPr>
        <w:pStyle w:val="ListParagraph"/>
        <w:numPr>
          <w:ilvl w:val="0"/>
          <w:numId w:val="5"/>
        </w:numPr>
        <w:ind w:left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Visas </w:t>
      </w:r>
      <w:r>
        <w:rPr>
          <w:rFonts w:ascii="Times New Roman" w:hAnsi="Times New Roman" w:cs="Times New Roman"/>
          <w:i/>
          <w:iCs/>
          <w:sz w:val="24"/>
          <w:szCs w:val="24"/>
        </w:rPr>
        <w:t>punktu summas</w:t>
      </w:r>
      <w:r>
        <w:rPr>
          <w:rFonts w:ascii="Times New Roman" w:hAnsi="Times New Roman" w:cs="Times New Roman"/>
          <w:sz w:val="24"/>
          <w:szCs w:val="24"/>
        </w:rPr>
        <w:t xml:space="preserve"> kļūst</w:t>
      </w:r>
      <w:r w:rsidRPr="00F02558">
        <w:rPr>
          <w:rFonts w:ascii="Times New Roman" w:hAnsi="Times New Roman" w:cs="Times New Roman"/>
          <w:sz w:val="24"/>
          <w:szCs w:val="24"/>
        </w:rPr>
        <w:t xml:space="preserve"> aktīvas,</w:t>
      </w:r>
      <w:r>
        <w:rPr>
          <w:rFonts w:ascii="Times New Roman" w:hAnsi="Times New Roman" w:cs="Times New Roman"/>
          <w:sz w:val="24"/>
          <w:szCs w:val="24"/>
        </w:rPr>
        <w:t xml:space="preserve"> tiklīdz sportists iegūst tehnisko minimumu, pat arī tās </w:t>
      </w:r>
      <w:r w:rsidRPr="00060A7A">
        <w:rPr>
          <w:rFonts w:ascii="Times New Roman" w:hAnsi="Times New Roman" w:cs="Times New Roman"/>
          <w:i/>
          <w:iCs/>
          <w:sz w:val="24"/>
          <w:szCs w:val="24"/>
        </w:rPr>
        <w:t>punktu summas</w:t>
      </w:r>
      <w:r>
        <w:rPr>
          <w:rFonts w:ascii="Times New Roman" w:hAnsi="Times New Roman" w:cs="Times New Roman"/>
          <w:sz w:val="24"/>
          <w:szCs w:val="24"/>
        </w:rPr>
        <w:t>, kas tika iegūtas pirms tehniskā minimuma izpildes</w:t>
      </w:r>
      <w:r w:rsidR="00060A7A">
        <w:rPr>
          <w:rFonts w:ascii="Times New Roman" w:hAnsi="Times New Roman" w:cs="Times New Roman"/>
          <w:sz w:val="24"/>
          <w:szCs w:val="24"/>
        </w:rPr>
        <w:t>;</w:t>
      </w:r>
    </w:p>
    <w:p w14:paraId="21D12A9E" w14:textId="76226D7D" w:rsidR="00060A7A" w:rsidRDefault="00060A7A" w:rsidP="00F02558">
      <w:pPr>
        <w:pStyle w:val="ListParagraph"/>
        <w:numPr>
          <w:ilvl w:val="0"/>
          <w:numId w:val="5"/>
        </w:numPr>
        <w:ind w:left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Gadījumā, ja </w:t>
      </w:r>
      <w:r w:rsidR="00C1386E">
        <w:rPr>
          <w:rFonts w:ascii="Times New Roman" w:hAnsi="Times New Roman" w:cs="Times New Roman"/>
          <w:i/>
          <w:iCs/>
          <w:sz w:val="24"/>
          <w:szCs w:val="24"/>
        </w:rPr>
        <w:t xml:space="preserve">izlases </w:t>
      </w:r>
      <w:r w:rsidRPr="00060A7A">
        <w:rPr>
          <w:rFonts w:ascii="Times New Roman" w:hAnsi="Times New Roman" w:cs="Times New Roman"/>
          <w:i/>
          <w:iCs/>
          <w:sz w:val="24"/>
          <w:szCs w:val="24"/>
        </w:rPr>
        <w:t>tehniskais minimums</w:t>
      </w:r>
      <w:r>
        <w:rPr>
          <w:rFonts w:ascii="Times New Roman" w:hAnsi="Times New Roman" w:cs="Times New Roman"/>
          <w:sz w:val="24"/>
          <w:szCs w:val="24"/>
        </w:rPr>
        <w:t xml:space="preserve"> ir izpildīts tikai vienā no programmā</w:t>
      </w:r>
      <w:r w:rsidR="00B34EEF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, tad visas </w:t>
      </w:r>
      <w:r w:rsidRPr="00060A7A">
        <w:rPr>
          <w:rFonts w:ascii="Times New Roman" w:hAnsi="Times New Roman" w:cs="Times New Roman"/>
          <w:i/>
          <w:iCs/>
          <w:sz w:val="24"/>
          <w:szCs w:val="24"/>
        </w:rPr>
        <w:t>punktu summas</w:t>
      </w:r>
      <w:r>
        <w:rPr>
          <w:rFonts w:ascii="Times New Roman" w:hAnsi="Times New Roman" w:cs="Times New Roman"/>
          <w:sz w:val="24"/>
          <w:szCs w:val="24"/>
        </w:rPr>
        <w:t xml:space="preserve"> skaitās neaktīvas.</w:t>
      </w:r>
    </w:p>
    <w:p w14:paraId="6C178CDE" w14:textId="2ACAC1B3" w:rsidR="004A1AA1" w:rsidRDefault="00C30E32" w:rsidP="00C30E3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Tabula Nr. 2.</w:t>
      </w:r>
    </w:p>
    <w:p w14:paraId="3F75B796" w14:textId="2712A801" w:rsidR="00C30E32" w:rsidRDefault="00C30E32" w:rsidP="00C30E3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Izlases tehniskā minimuma punkti</w:t>
      </w:r>
    </w:p>
    <w:tbl>
      <w:tblPr>
        <w:tblStyle w:val="TableGrid"/>
        <w:tblW w:w="8642" w:type="dxa"/>
        <w:tblLook w:val="04A0" w:firstRow="1" w:lastRow="0" w:firstColumn="1" w:lastColumn="0" w:noHBand="0" w:noVBand="1"/>
      </w:tblPr>
      <w:tblGrid>
        <w:gridCol w:w="4106"/>
        <w:gridCol w:w="2126"/>
        <w:gridCol w:w="2410"/>
      </w:tblGrid>
      <w:tr w:rsidR="00C30E32" w14:paraId="7C04CEE7" w14:textId="77777777" w:rsidTr="00C30E32">
        <w:tc>
          <w:tcPr>
            <w:tcW w:w="4106" w:type="dxa"/>
            <w:vAlign w:val="center"/>
          </w:tcPr>
          <w:p w14:paraId="22AA0F5C" w14:textId="4DEB5F65" w:rsidR="00C30E32" w:rsidRDefault="00C30E32" w:rsidP="00C30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Kategorija</w:t>
            </w:r>
          </w:p>
        </w:tc>
        <w:tc>
          <w:tcPr>
            <w:tcW w:w="2126" w:type="dxa"/>
            <w:vAlign w:val="center"/>
          </w:tcPr>
          <w:p w14:paraId="711C0433" w14:textId="6432B6BF" w:rsidR="00C30E32" w:rsidRDefault="00C30E32" w:rsidP="00C30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Obligātā programma</w:t>
            </w:r>
          </w:p>
        </w:tc>
        <w:tc>
          <w:tcPr>
            <w:tcW w:w="2410" w:type="dxa"/>
            <w:vAlign w:val="center"/>
          </w:tcPr>
          <w:p w14:paraId="5ADA192E" w14:textId="4B8CD062" w:rsidR="00C30E32" w:rsidRDefault="00C30E32" w:rsidP="00C30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Izvēles programma</w:t>
            </w:r>
          </w:p>
        </w:tc>
      </w:tr>
      <w:tr w:rsidR="00C30E32" w14:paraId="268E96EF" w14:textId="77777777" w:rsidTr="00C30E32">
        <w:tc>
          <w:tcPr>
            <w:tcW w:w="4106" w:type="dxa"/>
          </w:tcPr>
          <w:p w14:paraId="5F8261E9" w14:textId="0BEE7D19" w:rsidR="00C30E32" w:rsidRDefault="00C30E32" w:rsidP="00C3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Advanced Novice vienslidojums zēni un meitenes</w:t>
            </w:r>
          </w:p>
        </w:tc>
        <w:tc>
          <w:tcPr>
            <w:tcW w:w="2126" w:type="dxa"/>
          </w:tcPr>
          <w:p w14:paraId="27F31A5D" w14:textId="6BA020EC" w:rsidR="00C30E32" w:rsidRDefault="00C30E32" w:rsidP="00C30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14:paraId="344718C9" w14:textId="42232F59" w:rsidR="00C30E32" w:rsidRDefault="00C30E32" w:rsidP="00C30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C30E32" w14:paraId="381820A3" w14:textId="77777777" w:rsidTr="00C30E32">
        <w:tc>
          <w:tcPr>
            <w:tcW w:w="4106" w:type="dxa"/>
          </w:tcPr>
          <w:p w14:paraId="47412657" w14:textId="5911547E" w:rsidR="00C30E32" w:rsidRDefault="00C30E32" w:rsidP="00C3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Junior vienslidojums zēni un meitenes</w:t>
            </w:r>
          </w:p>
        </w:tc>
        <w:tc>
          <w:tcPr>
            <w:tcW w:w="2126" w:type="dxa"/>
          </w:tcPr>
          <w:p w14:paraId="2968B771" w14:textId="1325C387" w:rsidR="00C30E32" w:rsidRDefault="00C30E32" w:rsidP="00C30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</w:tcPr>
          <w:p w14:paraId="315229BE" w14:textId="76DE04DB" w:rsidR="00C30E32" w:rsidRDefault="00C30E32" w:rsidP="00C30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C30E32" w14:paraId="45EF08BC" w14:textId="77777777" w:rsidTr="00C30E32">
        <w:tc>
          <w:tcPr>
            <w:tcW w:w="4106" w:type="dxa"/>
          </w:tcPr>
          <w:p w14:paraId="10A8D30D" w14:textId="4E30ECB7" w:rsidR="00C30E32" w:rsidRDefault="00C30E32" w:rsidP="00C3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Senior vienslidojums vīrieši un sievietes</w:t>
            </w:r>
          </w:p>
        </w:tc>
        <w:tc>
          <w:tcPr>
            <w:tcW w:w="2126" w:type="dxa"/>
          </w:tcPr>
          <w:p w14:paraId="37B5584A" w14:textId="0B47E401" w:rsidR="00C30E32" w:rsidRDefault="00C30E32" w:rsidP="00C30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10" w:type="dxa"/>
          </w:tcPr>
          <w:p w14:paraId="4308DC0F" w14:textId="649FA293" w:rsidR="00C30E32" w:rsidRDefault="00C30E32" w:rsidP="00C30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466219" w14:paraId="0C33B506" w14:textId="77777777" w:rsidTr="00C30E32">
        <w:tc>
          <w:tcPr>
            <w:tcW w:w="4106" w:type="dxa"/>
          </w:tcPr>
          <w:p w14:paraId="3FEBC109" w14:textId="47521308" w:rsidR="00466219" w:rsidRDefault="00466219" w:rsidP="00C3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Senior sinhronā slidošana</w:t>
            </w:r>
          </w:p>
        </w:tc>
        <w:tc>
          <w:tcPr>
            <w:tcW w:w="2126" w:type="dxa"/>
          </w:tcPr>
          <w:p w14:paraId="52593F8C" w14:textId="32065E60" w:rsidR="00466219" w:rsidRDefault="00466219" w:rsidP="00C30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14:paraId="44E7D06D" w14:textId="1A9760F3" w:rsidR="00466219" w:rsidRDefault="00466219" w:rsidP="00C30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466219" w14:paraId="5CD10B0B" w14:textId="77777777" w:rsidTr="00C30E32">
        <w:tc>
          <w:tcPr>
            <w:tcW w:w="4106" w:type="dxa"/>
          </w:tcPr>
          <w:p w14:paraId="5B60F6C9" w14:textId="4DA581F7" w:rsidR="00466219" w:rsidRDefault="00466219" w:rsidP="00C3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Junior sinhronā slidošana</w:t>
            </w:r>
          </w:p>
        </w:tc>
        <w:tc>
          <w:tcPr>
            <w:tcW w:w="2126" w:type="dxa"/>
          </w:tcPr>
          <w:p w14:paraId="31E851C4" w14:textId="0233A308" w:rsidR="00466219" w:rsidRDefault="006F048B" w:rsidP="00C30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14:paraId="38959063" w14:textId="78AC2D90" w:rsidR="00466219" w:rsidRDefault="006F048B" w:rsidP="00C30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6F048B" w14:paraId="5B56D1A0" w14:textId="77777777" w:rsidTr="00C30E32">
        <w:tc>
          <w:tcPr>
            <w:tcW w:w="4106" w:type="dxa"/>
          </w:tcPr>
          <w:p w14:paraId="0B40365E" w14:textId="0904756D" w:rsidR="006F048B" w:rsidRDefault="006F048B" w:rsidP="00C3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Novice sinhronā slidošana</w:t>
            </w:r>
          </w:p>
        </w:tc>
        <w:tc>
          <w:tcPr>
            <w:tcW w:w="2126" w:type="dxa"/>
          </w:tcPr>
          <w:p w14:paraId="39726D05" w14:textId="21CF4268" w:rsidR="006F048B" w:rsidRDefault="00B34EEF" w:rsidP="00C30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410" w:type="dxa"/>
          </w:tcPr>
          <w:p w14:paraId="75CD2D7B" w14:textId="27335C23" w:rsidR="006F048B" w:rsidRDefault="00B34EEF" w:rsidP="00C30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6F048B" w14:paraId="18EC4D8A" w14:textId="77777777" w:rsidTr="00C30E32">
        <w:tc>
          <w:tcPr>
            <w:tcW w:w="4106" w:type="dxa"/>
          </w:tcPr>
          <w:p w14:paraId="44F58D98" w14:textId="728021CB" w:rsidR="006F048B" w:rsidRDefault="00B448A3" w:rsidP="00C3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Senior d</w:t>
            </w:r>
            <w:r w:rsidR="006F048B">
              <w:rPr>
                <w:rFonts w:ascii="Times New Roman" w:hAnsi="Times New Roman" w:cs="Times New Roman"/>
                <w:sz w:val="24"/>
                <w:szCs w:val="24"/>
              </w:rPr>
              <w:t>ejas</w:t>
            </w:r>
          </w:p>
        </w:tc>
        <w:tc>
          <w:tcPr>
            <w:tcW w:w="2126" w:type="dxa"/>
          </w:tcPr>
          <w:p w14:paraId="1B45D08B" w14:textId="048EA80D" w:rsidR="006F048B" w:rsidRDefault="00B34EEF" w:rsidP="00C30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</w:tcPr>
          <w:p w14:paraId="605E338B" w14:textId="57C766B6" w:rsidR="006F048B" w:rsidRDefault="00B34EEF" w:rsidP="00C30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448A3" w14:paraId="74554077" w14:textId="77777777" w:rsidTr="00C30E32">
        <w:tc>
          <w:tcPr>
            <w:tcW w:w="4106" w:type="dxa"/>
          </w:tcPr>
          <w:p w14:paraId="0EBB93A2" w14:textId="0517081E" w:rsidR="00B448A3" w:rsidRDefault="00B448A3" w:rsidP="00C3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Junior dejas</w:t>
            </w:r>
          </w:p>
        </w:tc>
        <w:tc>
          <w:tcPr>
            <w:tcW w:w="2126" w:type="dxa"/>
          </w:tcPr>
          <w:p w14:paraId="4D1B6500" w14:textId="6D4730ED" w:rsidR="00B448A3" w:rsidRDefault="00B34EEF" w:rsidP="00C30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</w:tcPr>
          <w:p w14:paraId="2EFE7EDA" w14:textId="5A09C6B4" w:rsidR="00B448A3" w:rsidRDefault="00B34EEF" w:rsidP="00C30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B448A3" w14:paraId="27EFDA4F" w14:textId="77777777" w:rsidTr="00C30E32">
        <w:tc>
          <w:tcPr>
            <w:tcW w:w="4106" w:type="dxa"/>
          </w:tcPr>
          <w:p w14:paraId="2054EDA7" w14:textId="3E405AD1" w:rsidR="00B448A3" w:rsidRDefault="00B448A3" w:rsidP="00C3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Novice dejas</w:t>
            </w:r>
          </w:p>
        </w:tc>
        <w:tc>
          <w:tcPr>
            <w:tcW w:w="2126" w:type="dxa"/>
          </w:tcPr>
          <w:p w14:paraId="752DE4C0" w14:textId="17BC2E69" w:rsidR="00B448A3" w:rsidRDefault="00B34EEF" w:rsidP="00C30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410" w:type="dxa"/>
          </w:tcPr>
          <w:p w14:paraId="7CAD85B8" w14:textId="294D20E7" w:rsidR="00B448A3" w:rsidRDefault="00B34EEF" w:rsidP="00C30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B448A3" w14:paraId="78934187" w14:textId="77777777" w:rsidTr="00C30E32">
        <w:tc>
          <w:tcPr>
            <w:tcW w:w="4106" w:type="dxa"/>
          </w:tcPr>
          <w:p w14:paraId="079D76F0" w14:textId="00C2F779" w:rsidR="00B448A3" w:rsidRDefault="00B448A3" w:rsidP="00C3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Senior pāri</w:t>
            </w:r>
          </w:p>
        </w:tc>
        <w:tc>
          <w:tcPr>
            <w:tcW w:w="2126" w:type="dxa"/>
          </w:tcPr>
          <w:p w14:paraId="3EE899AC" w14:textId="165B4635" w:rsidR="00B448A3" w:rsidRDefault="00B34EEF" w:rsidP="00C30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</w:tcPr>
          <w:p w14:paraId="7C5C3612" w14:textId="2BD147AF" w:rsidR="00B448A3" w:rsidRDefault="00B34EEF" w:rsidP="00C30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B448A3" w14:paraId="6F8FF627" w14:textId="77777777" w:rsidTr="00C30E32">
        <w:tc>
          <w:tcPr>
            <w:tcW w:w="4106" w:type="dxa"/>
          </w:tcPr>
          <w:p w14:paraId="51EE3737" w14:textId="24F1962A" w:rsidR="00B448A3" w:rsidRDefault="00B448A3" w:rsidP="00C3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Junior pāri</w:t>
            </w:r>
          </w:p>
        </w:tc>
        <w:tc>
          <w:tcPr>
            <w:tcW w:w="2126" w:type="dxa"/>
          </w:tcPr>
          <w:p w14:paraId="3AC91EE2" w14:textId="78CA9150" w:rsidR="00B448A3" w:rsidRDefault="00EA1176" w:rsidP="00C30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</w:tcPr>
          <w:p w14:paraId="50B29F24" w14:textId="3A3F568E" w:rsidR="00B448A3" w:rsidRDefault="00EA1176" w:rsidP="00C30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B34EEF" w14:paraId="5984C64B" w14:textId="77777777" w:rsidTr="00C30E32">
        <w:tc>
          <w:tcPr>
            <w:tcW w:w="4106" w:type="dxa"/>
          </w:tcPr>
          <w:p w14:paraId="2C3DFE43" w14:textId="306E1593" w:rsidR="00B34EEF" w:rsidRDefault="00B34EEF" w:rsidP="00C3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Novice pāri</w:t>
            </w:r>
          </w:p>
        </w:tc>
        <w:tc>
          <w:tcPr>
            <w:tcW w:w="2126" w:type="dxa"/>
          </w:tcPr>
          <w:p w14:paraId="61501619" w14:textId="0A3E8205" w:rsidR="00B34EEF" w:rsidRDefault="00B34EEF" w:rsidP="00C30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410" w:type="dxa"/>
          </w:tcPr>
          <w:p w14:paraId="586C9B0A" w14:textId="1B0EB696" w:rsidR="00B34EEF" w:rsidRDefault="00B34EEF" w:rsidP="00C30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</w:tbl>
    <w:p w14:paraId="51DACEB8" w14:textId="77777777" w:rsidR="00C30E32" w:rsidRDefault="00C30E32" w:rsidP="00C30E32">
      <w:pPr>
        <w:rPr>
          <w:rFonts w:ascii="Times New Roman" w:hAnsi="Times New Roman" w:cs="Times New Roman"/>
          <w:sz w:val="24"/>
          <w:szCs w:val="24"/>
        </w:rPr>
      </w:pPr>
    </w:p>
    <w:p w14:paraId="0ACC5931" w14:textId="77777777" w:rsidR="00C30E32" w:rsidRPr="00C30E32" w:rsidRDefault="00C30E32" w:rsidP="00C30E3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97B39F" w14:textId="020B41B6" w:rsidR="004A1AA1" w:rsidRDefault="00347559" w:rsidP="004A1AA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Lēmums par iespēju pārstāvēt valsti starptautiskās sacensībās</w:t>
      </w:r>
      <w:r w:rsidR="00056BA3">
        <w:rPr>
          <w:rFonts w:ascii="Times New Roman" w:hAnsi="Times New Roman" w:cs="Times New Roman"/>
          <w:sz w:val="24"/>
          <w:szCs w:val="24"/>
        </w:rPr>
        <w:t xml:space="preserve"> (izņemot Junior Grand Prix sēriju)</w:t>
      </w:r>
      <w:r>
        <w:rPr>
          <w:rFonts w:ascii="Times New Roman" w:hAnsi="Times New Roman" w:cs="Times New Roman"/>
          <w:sz w:val="24"/>
          <w:szCs w:val="24"/>
        </w:rPr>
        <w:t xml:space="preserve"> vai čempionātos tiek pieņemts pēc sportiskā principa </w:t>
      </w:r>
      <w:r w:rsidRPr="00347559">
        <w:rPr>
          <w:rFonts w:ascii="Times New Roman" w:hAnsi="Times New Roman" w:cs="Times New Roman"/>
          <w:b/>
          <w:bCs/>
          <w:sz w:val="24"/>
          <w:szCs w:val="24"/>
        </w:rPr>
        <w:t>30 dienas</w:t>
      </w:r>
      <w:r>
        <w:rPr>
          <w:rFonts w:ascii="Times New Roman" w:hAnsi="Times New Roman" w:cs="Times New Roman"/>
          <w:sz w:val="24"/>
          <w:szCs w:val="24"/>
        </w:rPr>
        <w:t xml:space="preserve"> (dienu skaitu var apspriest) pirms turnīra sākuma izrietot no izlases reitinga.</w:t>
      </w:r>
      <w:r w:rsidR="007A1EA4">
        <w:rPr>
          <w:rFonts w:ascii="Times New Roman" w:hAnsi="Times New Roman" w:cs="Times New Roman"/>
          <w:sz w:val="24"/>
          <w:szCs w:val="24"/>
        </w:rPr>
        <w:t xml:space="preserve"> Sportists, ar augstāko vietu iegūst tiesības pārstāvēt valsti.</w:t>
      </w:r>
    </w:p>
    <w:p w14:paraId="29156EAF" w14:textId="2EF5F02E" w:rsidR="00056BA3" w:rsidRDefault="00056BA3" w:rsidP="004A1AA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Lēmums par iespēju pārstāvēt valsti starptautiskās sacensībās vai čempionātos netiek pieņemts pēc sportiskā principa situācijās, ja Valdes sēdēs vienbalsīgi nobalso par citu kandidātu. Ieinteresētās personas balsošanā nepiedalās.</w:t>
      </w:r>
      <w:r w:rsidR="00BB58F1">
        <w:rPr>
          <w:rFonts w:ascii="Times New Roman" w:hAnsi="Times New Roman" w:cs="Times New Roman"/>
          <w:sz w:val="24"/>
          <w:szCs w:val="24"/>
        </w:rPr>
        <w:t xml:space="preserve"> (skatīt 1.tabulu, sportistu Nr.2.)</w:t>
      </w:r>
    </w:p>
    <w:p w14:paraId="48BF77E9" w14:textId="75173B80" w:rsidR="00056BA3" w:rsidRDefault="00864BB9" w:rsidP="004A1AA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Izlases reitings ir aktuāls tikai uz esošo sacensību sezonu. Sacensību sezona noris no </w:t>
      </w:r>
      <w:r w:rsidRPr="00864BB9">
        <w:rPr>
          <w:rFonts w:ascii="Times New Roman" w:hAnsi="Times New Roman" w:cs="Times New Roman"/>
          <w:b/>
          <w:bCs/>
          <w:sz w:val="24"/>
          <w:szCs w:val="24"/>
        </w:rPr>
        <w:t>1.jūlija līdz 30.jūnijam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(datumi ir apspriežami).</w:t>
      </w:r>
    </w:p>
    <w:p w14:paraId="17529025" w14:textId="7BD3B988" w:rsidR="00864BB9" w:rsidRDefault="00864BB9" w:rsidP="004A1AA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Izpildot visus nepieciešamos kritērijus, sportists var vienlaicīgi pārstāvēt divas izlases (piemēram, Junior un Senior klase).</w:t>
      </w:r>
    </w:p>
    <w:p w14:paraId="048194F7" w14:textId="1A585115" w:rsidR="00864BB9" w:rsidRDefault="00AA24B2" w:rsidP="004A1AA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Vietu skaits katrā izlasē ir ierobežots: 3x Senior klase, 6x Junior klase, 12 Advanced Novice klase. Vietu skaits ir apspriežams. Izlase sastāv no zēniem, meitenēm, pāriem, dejām un sinhron</w:t>
      </w:r>
      <w:r w:rsidR="00F72161">
        <w:rPr>
          <w:rFonts w:ascii="Times New Roman" w:hAnsi="Times New Roman" w:cs="Times New Roman"/>
          <w:sz w:val="24"/>
          <w:szCs w:val="24"/>
        </w:rPr>
        <w:t>ām</w:t>
      </w:r>
      <w:r>
        <w:rPr>
          <w:rFonts w:ascii="Times New Roman" w:hAnsi="Times New Roman" w:cs="Times New Roman"/>
          <w:sz w:val="24"/>
          <w:szCs w:val="24"/>
        </w:rPr>
        <w:t xml:space="preserve"> komand</w:t>
      </w:r>
      <w:r w:rsidR="00F72161">
        <w:rPr>
          <w:rFonts w:ascii="Times New Roman" w:hAnsi="Times New Roman" w:cs="Times New Roman"/>
          <w:sz w:val="24"/>
          <w:szCs w:val="24"/>
        </w:rPr>
        <w:t>ām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E9CDE14" w14:textId="133CA6EE" w:rsidR="00AA24B2" w:rsidRDefault="00F72161" w:rsidP="004A1AA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Sportists, kurš ir izpildījis tehnisko minimumu, taču izlasē nav ticis, jo ir aizpildītas visas kvotas uz vietu izlases pamatsastāvā kļūst kā Latvijas izlases kandidāts.</w:t>
      </w:r>
    </w:p>
    <w:p w14:paraId="18DCA38C" w14:textId="0277E2F2" w:rsidR="00F72161" w:rsidRDefault="003C454B" w:rsidP="004A1AA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Kontrole un rezultātu ievadi izpilda brīvprātīgais darbinieks, kuru ievēlējusi Treneru padome. Rezultātus ir jānosūta šim cilvēkam uz e-pastu ne vēlāk kā nedēļu pēc sacensībām. Rezultātu nosūtīšana ir pilnīga treneru, sportistu, kluba atbildība.</w:t>
      </w:r>
    </w:p>
    <w:p w14:paraId="4C4A113E" w14:textId="6066735A" w:rsidR="003C454B" w:rsidRDefault="003C454B" w:rsidP="0084750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B111B2" w14:textId="6400C316" w:rsidR="00847505" w:rsidRDefault="00A33122" w:rsidP="00A331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7E19BE6" w14:textId="09C93F42" w:rsidR="00847505" w:rsidRDefault="00847505" w:rsidP="008475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Junioru Grand Prix sērijas dalībnieku noteikšana</w:t>
      </w:r>
    </w:p>
    <w:p w14:paraId="088C8313" w14:textId="2022957F" w:rsidR="00847505" w:rsidRDefault="00847505" w:rsidP="00847505">
      <w:pPr>
        <w:rPr>
          <w:rFonts w:ascii="Times New Roman" w:hAnsi="Times New Roman" w:cs="Times New Roman"/>
          <w:sz w:val="24"/>
          <w:szCs w:val="24"/>
        </w:rPr>
      </w:pPr>
    </w:p>
    <w:p w14:paraId="1E8EAB6B" w14:textId="77777777" w:rsidR="00847505" w:rsidRDefault="00847505" w:rsidP="0084750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3210">
        <w:rPr>
          <w:rFonts w:ascii="Times New Roman" w:hAnsi="Times New Roman" w:cs="Times New Roman"/>
          <w:b/>
          <w:bCs/>
          <w:sz w:val="24"/>
          <w:szCs w:val="24"/>
        </w:rPr>
        <w:t>Terminoloģija</w:t>
      </w:r>
    </w:p>
    <w:p w14:paraId="501A31E8" w14:textId="77777777" w:rsidR="00847505" w:rsidRDefault="00847505" w:rsidP="002B07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Tehniskais minimums JGP – tehniskā atzīme obligātajā un izvēles programmā, kura tiek ņemta vērā tikai uz Junior klases kontrolstartiem, lai noteiktu, kurš sportists tiks sūtīts uz 2 (diviem) Junior Grand Prix posmiem. </w:t>
      </w:r>
    </w:p>
    <w:p w14:paraId="3D2C782F" w14:textId="77777777" w:rsidR="00847505" w:rsidRDefault="00847505" w:rsidP="002B07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Kā šī atzīme tiek aprēķināta:</w:t>
      </w:r>
    </w:p>
    <w:p w14:paraId="69CDFDCE" w14:textId="0B993BF9" w:rsidR="00847505" w:rsidRDefault="00847505" w:rsidP="002B0771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3122">
        <w:rPr>
          <w:rFonts w:ascii="Times New Roman" w:hAnsi="Times New Roman" w:cs="Times New Roman"/>
          <w:sz w:val="24"/>
          <w:szCs w:val="24"/>
        </w:rPr>
        <w:t xml:space="preserve">Tiek ņemta vērā vidējā </w:t>
      </w:r>
      <w:r w:rsidR="00A33122" w:rsidRPr="00A33122">
        <w:rPr>
          <w:rFonts w:ascii="Times New Roman" w:hAnsi="Times New Roman" w:cs="Times New Roman"/>
          <w:sz w:val="24"/>
          <w:szCs w:val="24"/>
        </w:rPr>
        <w:t xml:space="preserve">aritmētiskā </w:t>
      </w:r>
      <w:r w:rsidRPr="00A33122">
        <w:rPr>
          <w:rFonts w:ascii="Times New Roman" w:hAnsi="Times New Roman" w:cs="Times New Roman"/>
          <w:sz w:val="24"/>
          <w:szCs w:val="24"/>
        </w:rPr>
        <w:t xml:space="preserve">tehniskā atzīme katrā programmā starp sportistiem, kuri ieguvuši 10.vietu iepriekšējās sezonas JGP sērijās. </w:t>
      </w:r>
      <w:r w:rsidR="003F1D70" w:rsidRPr="00A33122">
        <w:rPr>
          <w:rFonts w:ascii="Times New Roman" w:hAnsi="Times New Roman" w:cs="Times New Roman"/>
          <w:sz w:val="24"/>
          <w:szCs w:val="24"/>
        </w:rPr>
        <w:t>Tiek ņemti vērā visi JGP posmi (</w:t>
      </w:r>
      <w:r w:rsidR="003F1D70" w:rsidRPr="00A33122">
        <w:rPr>
          <w:rFonts w:ascii="Times New Roman" w:hAnsi="Times New Roman" w:cs="Times New Roman"/>
          <w:i/>
          <w:iCs/>
          <w:sz w:val="24"/>
          <w:szCs w:val="24"/>
        </w:rPr>
        <w:t xml:space="preserve">iespējams ir vērts ņemt vērā šo vidējo atzīmi </w:t>
      </w:r>
      <w:r w:rsidR="00403308" w:rsidRPr="00A33122">
        <w:rPr>
          <w:rFonts w:ascii="Times New Roman" w:hAnsi="Times New Roman" w:cs="Times New Roman"/>
          <w:i/>
          <w:iCs/>
          <w:sz w:val="24"/>
          <w:szCs w:val="24"/>
        </w:rPr>
        <w:t xml:space="preserve">ar mīnuss </w:t>
      </w:r>
      <w:r w:rsidR="003F1D70" w:rsidRPr="00A33122">
        <w:rPr>
          <w:rFonts w:ascii="Times New Roman" w:hAnsi="Times New Roman" w:cs="Times New Roman"/>
          <w:i/>
          <w:iCs/>
          <w:sz w:val="24"/>
          <w:szCs w:val="24"/>
        </w:rPr>
        <w:t>10%</w:t>
      </w:r>
      <w:r w:rsidR="00403308" w:rsidRPr="00A33122">
        <w:rPr>
          <w:rFonts w:ascii="Times New Roman" w:hAnsi="Times New Roman" w:cs="Times New Roman"/>
          <w:i/>
          <w:iCs/>
          <w:sz w:val="24"/>
          <w:szCs w:val="24"/>
        </w:rPr>
        <w:t xml:space="preserve"> atzīmi</w:t>
      </w:r>
      <w:r w:rsidR="003F1D70" w:rsidRPr="00A33122">
        <w:rPr>
          <w:rFonts w:ascii="Times New Roman" w:hAnsi="Times New Roman" w:cs="Times New Roman"/>
          <w:i/>
          <w:iCs/>
          <w:sz w:val="24"/>
          <w:szCs w:val="24"/>
        </w:rPr>
        <w:t>, tā kā kontrolstarts tiek rīkots pašā sezonas sākumā</w:t>
      </w:r>
      <w:r w:rsidR="00403308" w:rsidRPr="00A33122">
        <w:rPr>
          <w:rFonts w:ascii="Times New Roman" w:hAnsi="Times New Roman" w:cs="Times New Roman"/>
          <w:sz w:val="24"/>
          <w:szCs w:val="24"/>
        </w:rPr>
        <w:t>).</w:t>
      </w:r>
    </w:p>
    <w:p w14:paraId="109E7FF9" w14:textId="77777777" w:rsidR="00C1386E" w:rsidRPr="00A33122" w:rsidRDefault="00C1386E" w:rsidP="002B0771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3656D939" w14:textId="60F2EE8C" w:rsidR="00847505" w:rsidRDefault="00847505" w:rsidP="002B0771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Atlase notiek pēc kontrolstarta rezultātiem.</w:t>
      </w:r>
    </w:p>
    <w:p w14:paraId="62B6618D" w14:textId="6F282BA1" w:rsidR="00847505" w:rsidRDefault="00847505" w:rsidP="002B0771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Kontrolstarts notiek pēc daiļslidošanas starptautiskajiem noteikumiem – obligātā un izvēles programma.</w:t>
      </w:r>
    </w:p>
    <w:p w14:paraId="731EA011" w14:textId="21124DF2" w:rsidR="00847505" w:rsidRDefault="00847505" w:rsidP="002B0771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Izvēles iespējas uz diviem posmiem</w:t>
      </w:r>
      <w:r w:rsidR="00A33122">
        <w:rPr>
          <w:rFonts w:ascii="Times New Roman" w:hAnsi="Times New Roman" w:cs="Times New Roman"/>
          <w:sz w:val="24"/>
          <w:szCs w:val="24"/>
        </w:rPr>
        <w:t xml:space="preserve"> ir sportistam, kurš ir izpildījis </w:t>
      </w:r>
      <w:r w:rsidR="00A33122">
        <w:rPr>
          <w:rFonts w:ascii="Times New Roman" w:hAnsi="Times New Roman" w:cs="Times New Roman"/>
          <w:i/>
          <w:iCs/>
          <w:sz w:val="24"/>
          <w:szCs w:val="24"/>
        </w:rPr>
        <w:t>tehnisko minimumu JGP</w:t>
      </w:r>
      <w:r w:rsidR="00A33122">
        <w:rPr>
          <w:rFonts w:ascii="Times New Roman" w:hAnsi="Times New Roman" w:cs="Times New Roman"/>
          <w:sz w:val="24"/>
          <w:szCs w:val="24"/>
        </w:rPr>
        <w:t xml:space="preserve"> un ir ieguvis augstāko vietu</w:t>
      </w:r>
      <w:r w:rsidR="00C1386E">
        <w:rPr>
          <w:rFonts w:ascii="Times New Roman" w:hAnsi="Times New Roman" w:cs="Times New Roman"/>
          <w:sz w:val="24"/>
          <w:szCs w:val="24"/>
        </w:rPr>
        <w:t xml:space="preserve"> kontrolstartos</w:t>
      </w:r>
      <w:r w:rsidR="00A3312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6450345" w14:textId="10070743" w:rsidR="002B0771" w:rsidRDefault="002B0771" w:rsidP="002B0771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Izvēles iespējas uz vienu posmu ir sportistam, kurš ir izpildījis Junior </w:t>
      </w:r>
      <w:r>
        <w:rPr>
          <w:rFonts w:ascii="Times New Roman" w:hAnsi="Times New Roman" w:cs="Times New Roman"/>
          <w:i/>
          <w:iCs/>
          <w:sz w:val="24"/>
          <w:szCs w:val="24"/>
        </w:rPr>
        <w:t>Izlases tehnisko minimumu</w:t>
      </w:r>
      <w:r>
        <w:rPr>
          <w:rFonts w:ascii="Times New Roman" w:hAnsi="Times New Roman" w:cs="Times New Roman"/>
          <w:sz w:val="24"/>
          <w:szCs w:val="24"/>
        </w:rPr>
        <w:t xml:space="preserve"> un ieguvis augstāko vietu.</w:t>
      </w:r>
    </w:p>
    <w:p w14:paraId="46B22727" w14:textId="120F15B6" w:rsidR="002B0771" w:rsidRDefault="002B0771" w:rsidP="002B0771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Gadījumā, ja ir palikušas brīvas kvotas, bet sportists nav izpildījis Junior </w:t>
      </w:r>
      <w:r>
        <w:rPr>
          <w:rFonts w:ascii="Times New Roman" w:hAnsi="Times New Roman" w:cs="Times New Roman"/>
          <w:i/>
          <w:iCs/>
          <w:sz w:val="24"/>
          <w:szCs w:val="24"/>
        </w:rPr>
        <w:t>Izlases tehnisko minimumu</w:t>
      </w:r>
      <w:r>
        <w:rPr>
          <w:rFonts w:ascii="Times New Roman" w:hAnsi="Times New Roman" w:cs="Times New Roman"/>
          <w:sz w:val="24"/>
          <w:szCs w:val="24"/>
        </w:rPr>
        <w:t xml:space="preserve"> lēmumu par viņu nosūtīšanu uz posmu lemj Valdē ar balsu vairākumu. Tas pats arī attiecas uz sportistu, kas nepiedalījās LSA rīkotajos konstrolstartos.</w:t>
      </w:r>
    </w:p>
    <w:p w14:paraId="67C09C17" w14:textId="59D4A42D" w:rsidR="001A7FE7" w:rsidRDefault="001A7FE7" w:rsidP="001A7F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AB4656" w14:textId="77777777" w:rsidR="001A7FE7" w:rsidRPr="001A7FE7" w:rsidRDefault="001A7FE7" w:rsidP="001A7FE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A7FE7" w:rsidRPr="001A7FE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C9D95A" w14:textId="77777777" w:rsidR="00C80867" w:rsidRDefault="00C80867" w:rsidP="00B34EEF">
      <w:pPr>
        <w:spacing w:after="0" w:line="240" w:lineRule="auto"/>
      </w:pPr>
      <w:r>
        <w:separator/>
      </w:r>
    </w:p>
  </w:endnote>
  <w:endnote w:type="continuationSeparator" w:id="0">
    <w:p w14:paraId="6D769B45" w14:textId="77777777" w:rsidR="00C80867" w:rsidRDefault="00C80867" w:rsidP="00B34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A0A44E" w14:textId="77777777" w:rsidR="00C80867" w:rsidRDefault="00C80867" w:rsidP="00B34EEF">
      <w:pPr>
        <w:spacing w:after="0" w:line="240" w:lineRule="auto"/>
      </w:pPr>
      <w:r>
        <w:separator/>
      </w:r>
    </w:p>
  </w:footnote>
  <w:footnote w:type="continuationSeparator" w:id="0">
    <w:p w14:paraId="100CA3B7" w14:textId="77777777" w:rsidR="00C80867" w:rsidRDefault="00C80867" w:rsidP="00B34E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712F1"/>
    <w:multiLevelType w:val="hybridMultilevel"/>
    <w:tmpl w:val="0E38C304"/>
    <w:lvl w:ilvl="0" w:tplc="09649D74">
      <w:start w:val="1"/>
      <w:numFmt w:val="bullet"/>
      <w:lvlText w:val="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7343310"/>
    <w:multiLevelType w:val="hybridMultilevel"/>
    <w:tmpl w:val="5F76A7C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E793A"/>
    <w:multiLevelType w:val="hybridMultilevel"/>
    <w:tmpl w:val="642C5C32"/>
    <w:lvl w:ilvl="0" w:tplc="7788F70E">
      <w:start w:val="1"/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26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C4812DB"/>
    <w:multiLevelType w:val="hybridMultilevel"/>
    <w:tmpl w:val="022472C0"/>
    <w:lvl w:ilvl="0" w:tplc="D2743EA0">
      <w:start w:val="1"/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65B31D8"/>
    <w:multiLevelType w:val="hybridMultilevel"/>
    <w:tmpl w:val="D3469CF6"/>
    <w:lvl w:ilvl="0" w:tplc="5CCC7820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B1D3FE0"/>
    <w:multiLevelType w:val="hybridMultilevel"/>
    <w:tmpl w:val="E496FC2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4503AB"/>
    <w:multiLevelType w:val="hybridMultilevel"/>
    <w:tmpl w:val="4950EBF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C35FF6"/>
    <w:multiLevelType w:val="hybridMultilevel"/>
    <w:tmpl w:val="A22E414C"/>
    <w:lvl w:ilvl="0" w:tplc="74ECF5C8">
      <w:start w:val="3"/>
      <w:numFmt w:val="bullet"/>
      <w:lvlText w:val=""/>
      <w:lvlJc w:val="left"/>
      <w:pPr>
        <w:ind w:left="252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210"/>
    <w:rsid w:val="00036AA3"/>
    <w:rsid w:val="00056BA3"/>
    <w:rsid w:val="00060A7A"/>
    <w:rsid w:val="000E742B"/>
    <w:rsid w:val="001A7FE7"/>
    <w:rsid w:val="002B0771"/>
    <w:rsid w:val="00347559"/>
    <w:rsid w:val="003C454B"/>
    <w:rsid w:val="003F1D70"/>
    <w:rsid w:val="003F4C4D"/>
    <w:rsid w:val="00403308"/>
    <w:rsid w:val="00466219"/>
    <w:rsid w:val="004A1AA1"/>
    <w:rsid w:val="004E3CC5"/>
    <w:rsid w:val="00520C11"/>
    <w:rsid w:val="005572EE"/>
    <w:rsid w:val="00612A63"/>
    <w:rsid w:val="006F048B"/>
    <w:rsid w:val="007A1EA4"/>
    <w:rsid w:val="00847505"/>
    <w:rsid w:val="00864BB9"/>
    <w:rsid w:val="008F66F2"/>
    <w:rsid w:val="00943D78"/>
    <w:rsid w:val="00A30F20"/>
    <w:rsid w:val="00A33122"/>
    <w:rsid w:val="00AA24B2"/>
    <w:rsid w:val="00B138A2"/>
    <w:rsid w:val="00B34EEF"/>
    <w:rsid w:val="00B448A3"/>
    <w:rsid w:val="00BB58F1"/>
    <w:rsid w:val="00BE20C0"/>
    <w:rsid w:val="00BF1AB6"/>
    <w:rsid w:val="00C1386E"/>
    <w:rsid w:val="00C30E32"/>
    <w:rsid w:val="00C626F6"/>
    <w:rsid w:val="00C80867"/>
    <w:rsid w:val="00D019F6"/>
    <w:rsid w:val="00D60C06"/>
    <w:rsid w:val="00D8496A"/>
    <w:rsid w:val="00DE755B"/>
    <w:rsid w:val="00DF3210"/>
    <w:rsid w:val="00E00073"/>
    <w:rsid w:val="00EA1176"/>
    <w:rsid w:val="00F02558"/>
    <w:rsid w:val="00F41290"/>
    <w:rsid w:val="00F6137B"/>
    <w:rsid w:val="00F7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C8971"/>
  <w15:docId w15:val="{DAD1773C-DB83-4BFB-B998-ABE9381E4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3210"/>
    <w:pPr>
      <w:ind w:left="720"/>
      <w:contextualSpacing/>
    </w:pPr>
  </w:style>
  <w:style w:type="table" w:styleId="TableGrid">
    <w:name w:val="Table Grid"/>
    <w:basedOn w:val="TableNormal"/>
    <w:uiPriority w:val="39"/>
    <w:rsid w:val="00BF1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4E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EEF"/>
  </w:style>
  <w:style w:type="paragraph" w:styleId="Footer">
    <w:name w:val="footer"/>
    <w:basedOn w:val="Normal"/>
    <w:link w:val="FooterChar"/>
    <w:uiPriority w:val="99"/>
    <w:unhideWhenUsed/>
    <w:rsid w:val="00B34E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E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1005</Words>
  <Characters>5729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Beļēviča</dc:creator>
  <cp:lastModifiedBy>Inese Jesse</cp:lastModifiedBy>
  <cp:revision>2</cp:revision>
  <dcterms:created xsi:type="dcterms:W3CDTF">2022-04-18T18:01:00Z</dcterms:created>
  <dcterms:modified xsi:type="dcterms:W3CDTF">2022-04-18T18:01:00Z</dcterms:modified>
</cp:coreProperties>
</file>